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center"/>
        <w:rPr>
          <w:rFonts w:ascii="黑体" w:hAnsi="黑体" w:eastAsia="黑体" w:cs="Times New Roman"/>
          <w:sz w:val="36"/>
          <w:szCs w:val="40"/>
        </w:rPr>
      </w:pPr>
      <w:bookmarkStart w:id="0" w:name="_GoBack"/>
      <w:bookmarkEnd w:id="0"/>
      <w:r>
        <w:rPr>
          <w:rFonts w:hint="eastAsia" w:ascii="黑体" w:hAnsi="黑体" w:eastAsia="黑体" w:cs="Times New Roman"/>
          <w:sz w:val="36"/>
          <w:szCs w:val="40"/>
        </w:rPr>
        <w:t>数学科学学院202</w:t>
      </w:r>
      <w:r>
        <w:rPr>
          <w:rFonts w:hint="eastAsia" w:ascii="黑体" w:hAnsi="黑体" w:eastAsia="黑体" w:cs="Times New Roman"/>
          <w:sz w:val="36"/>
          <w:szCs w:val="40"/>
          <w:lang w:val="en-US" w:eastAsia="zh-CN"/>
        </w:rPr>
        <w:t>4</w:t>
      </w:r>
      <w:r>
        <w:rPr>
          <w:rFonts w:hint="eastAsia" w:ascii="黑体" w:hAnsi="黑体" w:eastAsia="黑体" w:cs="Times New Roman"/>
          <w:sz w:val="36"/>
          <w:szCs w:val="40"/>
        </w:rPr>
        <w:t>年推荐优秀本科生免试攻读研究生综合发展潜力遴选成绩评定细则</w:t>
      </w:r>
    </w:p>
    <w:p>
      <w:pPr>
        <w:spacing w:line="360" w:lineRule="auto"/>
        <w:ind w:firstLine="420"/>
        <w:rPr>
          <w:rFonts w:ascii="Times New Roman" w:hAnsi="Times New Roman" w:eastAsia="仿宋" w:cs="Times New Roman"/>
          <w:sz w:val="28"/>
          <w:szCs w:val="32"/>
        </w:rPr>
      </w:pP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本细则是对《复旦大学</w:t>
      </w:r>
      <w:r>
        <w:rPr>
          <w:rFonts w:ascii="Times New Roman" w:hAnsi="Times New Roman" w:eastAsia="仿宋" w:cs="Times New Roman"/>
          <w:sz w:val="28"/>
          <w:szCs w:val="32"/>
        </w:rPr>
        <w:t>推荐优秀本科毕业生免试攻读研究生工作实施办法</w:t>
      </w:r>
      <w:r>
        <w:rPr>
          <w:rFonts w:hint="eastAsia" w:ascii="Times New Roman" w:hAnsi="Times New Roman" w:eastAsia="仿宋" w:cs="Times New Roman"/>
          <w:sz w:val="21"/>
          <w:szCs w:val="21"/>
        </w:rPr>
        <w:t>（2023年9月修订）</w:t>
      </w:r>
      <w:r>
        <w:rPr>
          <w:rFonts w:hint="eastAsia" w:ascii="Times New Roman" w:hAnsi="Times New Roman" w:eastAsia="仿宋" w:cs="Times New Roman"/>
          <w:sz w:val="28"/>
          <w:szCs w:val="32"/>
        </w:rPr>
        <w:t>》（以下简称《实施方法》）中“综合发展潜力”指标的量化细则。</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加强对申请人本科阶段德智体美劳全面发展情况和潜力的多元评价，具备全面发展潜力的申请人经学院推免生遴选专家小组评定，可获最多</w:t>
      </w:r>
      <w:r>
        <w:rPr>
          <w:rFonts w:ascii="Times New Roman" w:hAnsi="Times New Roman" w:eastAsia="仿宋" w:cs="Times New Roman"/>
          <w:sz w:val="28"/>
          <w:szCs w:val="32"/>
        </w:rPr>
        <w:t>8分。</w:t>
      </w:r>
    </w:p>
    <w:p>
      <w:pPr>
        <w:spacing w:line="360" w:lineRule="auto"/>
        <w:ind w:firstLine="420"/>
        <w:rPr>
          <w:rFonts w:ascii="Times New Roman" w:hAnsi="Times New Roman" w:eastAsia="仿宋" w:cs="Times New Roman"/>
          <w:sz w:val="28"/>
          <w:szCs w:val="32"/>
        </w:rPr>
      </w:pPr>
    </w:p>
    <w:p>
      <w:pPr>
        <w:pStyle w:val="8"/>
        <w:numPr>
          <w:ilvl w:val="255"/>
          <w:numId w:val="0"/>
        </w:numPr>
        <w:spacing w:line="360" w:lineRule="auto"/>
        <w:ind w:left="420"/>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一、具备较强的专业能力：</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以申请人本科生阶段已修读所有专业课程的平均绩点作为其专业综合成绩（仅限2</w:t>
      </w:r>
      <w:r>
        <w:rPr>
          <w:rFonts w:ascii="Times New Roman" w:hAnsi="Times New Roman" w:eastAsia="仿宋" w:cs="Times New Roman"/>
          <w:sz w:val="28"/>
          <w:szCs w:val="32"/>
        </w:rPr>
        <w:t>0</w:t>
      </w:r>
      <w:r>
        <w:rPr>
          <w:rFonts w:hint="eastAsia" w:ascii="Times New Roman" w:hAnsi="Times New Roman" w:eastAsia="仿宋" w:cs="Times New Roman"/>
          <w:sz w:val="28"/>
          <w:szCs w:val="32"/>
          <w:lang w:val="en-US" w:eastAsia="zh-CN"/>
        </w:rPr>
        <w:t>20</w:t>
      </w:r>
      <w:r>
        <w:rPr>
          <w:rFonts w:hint="eastAsia" w:ascii="Times New Roman" w:hAnsi="Times New Roman" w:eastAsia="仿宋" w:cs="Times New Roman"/>
          <w:sz w:val="28"/>
          <w:szCs w:val="32"/>
        </w:rPr>
        <w:t>级数学类培养方案中的专业培养课程，但因转专业等原因进行了学分转换与学分认定的课程除外），按照数学科学学院推免生遴选专业综合成绩折算公式（表</w:t>
      </w:r>
      <w:r>
        <w:rPr>
          <w:rFonts w:ascii="Times New Roman" w:hAnsi="Times New Roman" w:eastAsia="仿宋" w:cs="Times New Roman"/>
          <w:sz w:val="28"/>
          <w:szCs w:val="32"/>
        </w:rPr>
        <w:t>1</w:t>
      </w:r>
      <w:r>
        <w:rPr>
          <w:rFonts w:hint="eastAsia" w:ascii="Times New Roman" w:hAnsi="Times New Roman" w:eastAsia="仿宋" w:cs="Times New Roman"/>
          <w:sz w:val="28"/>
          <w:szCs w:val="32"/>
        </w:rPr>
        <w:t>）进行折算，专业成绩高于3.</w:t>
      </w:r>
      <w:r>
        <w:rPr>
          <w:rFonts w:ascii="Times New Roman" w:hAnsi="Times New Roman" w:eastAsia="仿宋" w:cs="Times New Roman"/>
          <w:sz w:val="28"/>
          <w:szCs w:val="32"/>
        </w:rPr>
        <w:t>3</w:t>
      </w:r>
      <w:r>
        <w:rPr>
          <w:rFonts w:hint="eastAsia" w:ascii="Times New Roman" w:hAnsi="Times New Roman" w:eastAsia="仿宋" w:cs="Times New Roman"/>
          <w:sz w:val="28"/>
          <w:szCs w:val="32"/>
        </w:rPr>
        <w:t>的，按照公式折算后计入遴选总成绩，可获最多3分；低于3.</w:t>
      </w:r>
      <w:r>
        <w:rPr>
          <w:rFonts w:ascii="Times New Roman" w:hAnsi="Times New Roman" w:eastAsia="仿宋" w:cs="Times New Roman"/>
          <w:sz w:val="28"/>
          <w:szCs w:val="32"/>
        </w:rPr>
        <w:t>3</w:t>
      </w:r>
      <w:r>
        <w:rPr>
          <w:rFonts w:hint="eastAsia" w:ascii="Times New Roman" w:hAnsi="Times New Roman" w:eastAsia="仿宋" w:cs="Times New Roman"/>
          <w:sz w:val="28"/>
          <w:szCs w:val="32"/>
        </w:rPr>
        <w:t>的，不获加分。</w:t>
      </w:r>
    </w:p>
    <w:p>
      <w:pPr>
        <w:widowControl/>
        <w:shd w:val="clear" w:color="auto" w:fill="FFFFFF"/>
        <w:spacing w:line="555" w:lineRule="atLeast"/>
        <w:rPr>
          <w:rFonts w:ascii="Times New Roman" w:hAnsi="Times New Roman" w:eastAsia="仿宋" w:cs="Times New Roman"/>
          <w:color w:val="000000"/>
          <w:kern w:val="0"/>
          <w:sz w:val="28"/>
          <w:szCs w:val="28"/>
        </w:rPr>
      </w:pPr>
      <w:r>
        <w:rPr>
          <w:rFonts w:hint="eastAsia" w:ascii="Times New Roman" w:hAnsi="Times New Roman" w:eastAsia="仿宋" w:cs="Times New Roman"/>
          <w:color w:val="000000"/>
          <w:kern w:val="0"/>
          <w:sz w:val="28"/>
          <w:szCs w:val="28"/>
        </w:rPr>
        <w:t>表</w:t>
      </w:r>
      <w:r>
        <w:rPr>
          <w:rFonts w:ascii="Times New Roman" w:hAnsi="Times New Roman" w:eastAsia="仿宋" w:cs="Times New Roman"/>
          <w:color w:val="000000"/>
          <w:kern w:val="0"/>
          <w:sz w:val="28"/>
          <w:szCs w:val="28"/>
        </w:rPr>
        <w:t>1：</w:t>
      </w:r>
      <w:r>
        <w:rPr>
          <w:rFonts w:hint="eastAsia" w:ascii="Times New Roman" w:hAnsi="Times New Roman" w:eastAsia="仿宋" w:cs="Times New Roman"/>
          <w:color w:val="000000"/>
          <w:kern w:val="0"/>
          <w:sz w:val="28"/>
          <w:szCs w:val="28"/>
        </w:rPr>
        <w:t>数学科学学院推免生遴选专业综合成绩折算表</w:t>
      </w:r>
    </w:p>
    <w:tbl>
      <w:tblPr>
        <w:tblStyle w:val="5"/>
        <w:tblW w:w="725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396"/>
        <w:gridCol w:w="2505"/>
        <w:gridCol w:w="23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9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专业GPA区间</w:t>
            </w:r>
          </w:p>
        </w:tc>
        <w:tc>
          <w:tcPr>
            <w:tcW w:w="25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换算公式</w:t>
            </w:r>
          </w:p>
        </w:tc>
        <w:tc>
          <w:tcPr>
            <w:tcW w:w="235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遴选总成绩计分</w:t>
            </w:r>
          </w:p>
          <w:p>
            <w:pPr>
              <w:widowControl/>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（小数点后位数不限）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39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3.3 - 4</w:t>
            </w:r>
          </w:p>
        </w:tc>
        <w:tc>
          <w:tcPr>
            <w:tcW w:w="25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=(30*GPA-99)/7</w:t>
            </w:r>
          </w:p>
        </w:tc>
        <w:tc>
          <w:tcPr>
            <w:tcW w:w="23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0 - 3.00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396"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2</w:t>
            </w:r>
            <w:r>
              <w:rPr>
                <w:rFonts w:hint="eastAsia" w:ascii="Times New Roman" w:hAnsi="Times New Roman" w:eastAsia="仿宋" w:cs="Times New Roman"/>
                <w:color w:val="000000"/>
                <w:kern w:val="0"/>
                <w:sz w:val="24"/>
                <w:szCs w:val="24"/>
              </w:rPr>
              <w:t>-</w:t>
            </w:r>
            <w:r>
              <w:rPr>
                <w:rFonts w:ascii="Times New Roman" w:hAnsi="Times New Roman" w:eastAsia="仿宋" w:cs="Times New Roman"/>
                <w:color w:val="000000"/>
                <w:kern w:val="0"/>
                <w:sz w:val="24"/>
                <w:szCs w:val="24"/>
              </w:rPr>
              <w:t>3</w:t>
            </w:r>
            <w:r>
              <w:rPr>
                <w:rFonts w:hint="eastAsia" w:ascii="Times New Roman" w:hAnsi="Times New Roman" w:eastAsia="仿宋" w:cs="Times New Roman"/>
                <w:color w:val="000000"/>
                <w:kern w:val="0"/>
                <w:sz w:val="24"/>
                <w:szCs w:val="24"/>
              </w:rPr>
              <w:t>.</w:t>
            </w:r>
            <w:r>
              <w:rPr>
                <w:rFonts w:ascii="Times New Roman" w:hAnsi="Times New Roman" w:eastAsia="仿宋" w:cs="Times New Roman"/>
                <w:color w:val="000000"/>
                <w:kern w:val="0"/>
                <w:sz w:val="24"/>
                <w:szCs w:val="24"/>
              </w:rPr>
              <w:t>3</w:t>
            </w:r>
          </w:p>
        </w:tc>
        <w:tc>
          <w:tcPr>
            <w:tcW w:w="25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w:t>
            </w:r>
          </w:p>
        </w:tc>
        <w:tc>
          <w:tcPr>
            <w:tcW w:w="23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color w:val="000000"/>
                <w:kern w:val="0"/>
                <w:sz w:val="24"/>
                <w:szCs w:val="24"/>
              </w:rPr>
              <w:t>0</w:t>
            </w:r>
          </w:p>
        </w:tc>
      </w:tr>
    </w:tbl>
    <w:p>
      <w:pPr>
        <w:pStyle w:val="8"/>
        <w:numPr>
          <w:ilvl w:val="255"/>
          <w:numId w:val="0"/>
        </w:numPr>
        <w:spacing w:line="360" w:lineRule="auto"/>
        <w:ind w:left="0" w:firstLine="0" w:firstLineChars="0"/>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二、参加学科竞赛表现优异：</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申请人本科阶段作为唯一队员或主力队员参加学科相关的国内权威竞赛（全国赛）或相当的国际赛事，取得相应奖项，按照《</w:t>
      </w:r>
      <w:r>
        <w:rPr>
          <w:rFonts w:ascii="Times New Roman" w:hAnsi="Times New Roman" w:eastAsia="仿宋" w:cs="Times New Roman"/>
          <w:sz w:val="28"/>
          <w:szCs w:val="32"/>
        </w:rPr>
        <w:t>实施办法</w:t>
      </w:r>
      <w:r>
        <w:rPr>
          <w:rFonts w:hint="eastAsia" w:ascii="Times New Roman" w:hAnsi="Times New Roman" w:eastAsia="仿宋" w:cs="Times New Roman"/>
          <w:sz w:val="28"/>
          <w:szCs w:val="32"/>
        </w:rPr>
        <w:t>》中所述标准，经过学院推免生遴选专家小组审核认定，获得相应加分。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参加学科相关的国内权威竞赛（地区赛）或其他赛事，取得相应奖项，按照《</w:t>
      </w:r>
      <w:r>
        <w:rPr>
          <w:rFonts w:hint="eastAsia" w:ascii="Times New Roman" w:hAnsi="Times New Roman" w:eastAsia="仿宋" w:cs="Times New Roman"/>
          <w:color w:val="000000"/>
          <w:kern w:val="0"/>
          <w:sz w:val="28"/>
          <w:szCs w:val="28"/>
        </w:rPr>
        <w:t>数学科学学院推免生遴选学科竞赛认定表》（表</w:t>
      </w:r>
      <w:r>
        <w:rPr>
          <w:rFonts w:ascii="Times New Roman" w:hAnsi="Times New Roman" w:eastAsia="仿宋" w:cs="Times New Roman"/>
          <w:color w:val="000000"/>
          <w:kern w:val="0"/>
          <w:sz w:val="28"/>
          <w:szCs w:val="28"/>
        </w:rPr>
        <w:t>2</w:t>
      </w:r>
      <w:r>
        <w:rPr>
          <w:rFonts w:hint="eastAsia" w:ascii="Times New Roman" w:hAnsi="Times New Roman" w:eastAsia="仿宋" w:cs="Times New Roman"/>
          <w:color w:val="000000"/>
          <w:kern w:val="0"/>
          <w:sz w:val="28"/>
          <w:szCs w:val="28"/>
        </w:rPr>
        <w:t>）中所述标准，</w:t>
      </w:r>
      <w:r>
        <w:rPr>
          <w:rFonts w:hint="eastAsia" w:ascii="Times New Roman" w:hAnsi="Times New Roman" w:eastAsia="仿宋" w:cs="Times New Roman"/>
          <w:sz w:val="28"/>
          <w:szCs w:val="32"/>
        </w:rPr>
        <w:t>经过学院推免生遴选专家小组审核认定，获得相应加分。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在多项竞赛中获奖不累积计分，只取最高一项竞赛奖项得分计入遴选总成绩。竞赛指标得分与《实施方法》中所述竞赛加分标准不重复计算，只取最高一项得分计入遴选总成绩。</w:t>
      </w:r>
      <w:r>
        <w:rPr>
          <w:rFonts w:hint="eastAsia" w:ascii="Times New Roman" w:hAnsi="Times New Roman" w:eastAsia="仿宋" w:cs="Times New Roman"/>
          <w:color w:val="000000"/>
          <w:kern w:val="0"/>
          <w:sz w:val="28"/>
          <w:szCs w:val="28"/>
        </w:rPr>
        <w:t>其他在《复旦大学本科生学科竞赛工作管理办法》</w:t>
      </w:r>
      <w:r>
        <w:rPr>
          <w:rFonts w:ascii="Times New Roman" w:hAnsi="Times New Roman" w:eastAsia="仿宋" w:cs="Times New Roman"/>
          <w:color w:val="000000"/>
          <w:kern w:val="0"/>
          <w:sz w:val="28"/>
          <w:szCs w:val="28"/>
        </w:rPr>
        <w:t>202</w:t>
      </w:r>
      <w:r>
        <w:rPr>
          <w:rFonts w:hint="eastAsia" w:ascii="Times New Roman" w:hAnsi="Times New Roman" w:eastAsia="仿宋" w:cs="Times New Roman"/>
          <w:color w:val="000000"/>
          <w:kern w:val="0"/>
          <w:sz w:val="28"/>
          <w:szCs w:val="28"/>
          <w:lang w:val="en-US" w:eastAsia="zh-CN"/>
        </w:rPr>
        <w:t>3</w:t>
      </w:r>
      <w:r>
        <w:rPr>
          <w:rFonts w:ascii="Times New Roman" w:hAnsi="Times New Roman" w:eastAsia="仿宋" w:cs="Times New Roman"/>
          <w:color w:val="000000"/>
          <w:kern w:val="0"/>
          <w:sz w:val="28"/>
          <w:szCs w:val="28"/>
        </w:rPr>
        <w:t>年9月附录调整范围</w:t>
      </w:r>
      <w:r>
        <w:rPr>
          <w:rFonts w:hint="eastAsia" w:ascii="Times New Roman" w:hAnsi="Times New Roman" w:eastAsia="仿宋" w:cs="Times New Roman"/>
          <w:color w:val="000000"/>
          <w:kern w:val="0"/>
          <w:sz w:val="28"/>
          <w:szCs w:val="28"/>
        </w:rPr>
        <w:t>内的学科竞赛，竞赛获奖等级需经</w:t>
      </w:r>
      <w:r>
        <w:rPr>
          <w:rFonts w:hint="eastAsia" w:ascii="Times New Roman" w:hAnsi="Times New Roman" w:eastAsia="仿宋" w:cs="Times New Roman"/>
          <w:sz w:val="28"/>
          <w:szCs w:val="32"/>
        </w:rPr>
        <w:t>学院推免生遴选专家小组认定，并获得相应计分</w:t>
      </w:r>
      <w:r>
        <w:rPr>
          <w:rFonts w:ascii="Times New Roman" w:hAnsi="Times New Roman" w:eastAsia="仿宋" w:cs="Times New Roman"/>
          <w:color w:val="000000"/>
          <w:kern w:val="0"/>
          <w:sz w:val="28"/>
          <w:szCs w:val="28"/>
        </w:rPr>
        <w:t>。</w:t>
      </w:r>
    </w:p>
    <w:p>
      <w:pPr>
        <w:spacing w:line="360" w:lineRule="auto"/>
        <w:ind w:firstLine="420"/>
        <w:rPr>
          <w:rFonts w:ascii="Times New Roman" w:hAnsi="Times New Roman" w:eastAsia="仿宋" w:cs="Times New Roman"/>
          <w:color w:val="000000"/>
          <w:kern w:val="0"/>
          <w:sz w:val="28"/>
          <w:szCs w:val="28"/>
        </w:rPr>
      </w:pPr>
    </w:p>
    <w:p>
      <w:pPr>
        <w:spacing w:line="360" w:lineRule="auto"/>
        <w:rPr>
          <w:rFonts w:ascii="Times New Roman" w:hAnsi="Times New Roman" w:eastAsia="仿宋" w:cs="Times New Roman"/>
          <w:sz w:val="28"/>
          <w:szCs w:val="32"/>
        </w:rPr>
      </w:pPr>
      <w:r>
        <w:rPr>
          <w:rFonts w:hint="eastAsia" w:ascii="Times New Roman" w:hAnsi="Times New Roman" w:eastAsia="仿宋" w:cs="Times New Roman"/>
          <w:color w:val="000000"/>
          <w:kern w:val="0"/>
          <w:sz w:val="28"/>
          <w:szCs w:val="28"/>
        </w:rPr>
        <w:t>表</w:t>
      </w:r>
      <w:r>
        <w:rPr>
          <w:rFonts w:ascii="Times New Roman" w:hAnsi="Times New Roman" w:eastAsia="仿宋" w:cs="Times New Roman"/>
          <w:color w:val="000000"/>
          <w:kern w:val="0"/>
          <w:sz w:val="28"/>
          <w:szCs w:val="28"/>
        </w:rPr>
        <w:t>2：</w:t>
      </w:r>
      <w:r>
        <w:rPr>
          <w:rFonts w:hint="eastAsia" w:ascii="Times New Roman" w:hAnsi="Times New Roman" w:eastAsia="仿宋" w:cs="Times New Roman"/>
          <w:color w:val="000000"/>
          <w:kern w:val="0"/>
          <w:sz w:val="28"/>
          <w:szCs w:val="28"/>
        </w:rPr>
        <w:t>数学科学学院推免生遴选学科竞赛认定表</w:t>
      </w:r>
    </w:p>
    <w:tbl>
      <w:tblPr>
        <w:tblStyle w:val="5"/>
        <w:tblW w:w="863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985"/>
        <w:gridCol w:w="2126"/>
        <w:gridCol w:w="3260"/>
        <w:gridCol w:w="2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985" w:type="dxa"/>
            <w:tcBorders>
              <w:top w:val="single" w:color="000000"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b/>
                <w:bCs/>
                <w:color w:val="000000"/>
                <w:kern w:val="0"/>
                <w:sz w:val="24"/>
                <w:szCs w:val="24"/>
              </w:rPr>
            </w:pPr>
            <w:r>
              <w:rPr>
                <w:rFonts w:hint="eastAsia" w:ascii="Times New Roman" w:hAnsi="Times New Roman" w:eastAsia="仿宋" w:cs="Times New Roman"/>
                <w:b/>
                <w:bCs/>
                <w:color w:val="000000"/>
                <w:kern w:val="0"/>
                <w:sz w:val="24"/>
                <w:szCs w:val="24"/>
              </w:rPr>
              <w:t>竞赛级别</w:t>
            </w:r>
          </w:p>
        </w:tc>
        <w:tc>
          <w:tcPr>
            <w:tcW w:w="2126" w:type="dxa"/>
            <w:tcBorders>
              <w:top w:val="single" w:color="000000"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b/>
                <w:bCs/>
                <w:color w:val="000000"/>
                <w:kern w:val="0"/>
                <w:sz w:val="24"/>
                <w:szCs w:val="24"/>
              </w:rPr>
              <w:t>竞赛名称</w:t>
            </w:r>
          </w:p>
        </w:tc>
        <w:tc>
          <w:tcPr>
            <w:tcW w:w="3260" w:type="dxa"/>
            <w:tcBorders>
              <w:top w:val="single" w:color="000000"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b/>
                <w:bCs/>
                <w:kern w:val="0"/>
                <w:sz w:val="24"/>
                <w:szCs w:val="24"/>
              </w:rPr>
            </w:pPr>
            <w:r>
              <w:rPr>
                <w:rFonts w:hint="eastAsia" w:ascii="Times New Roman" w:hAnsi="Times New Roman" w:eastAsia="仿宋" w:cs="Times New Roman"/>
                <w:b/>
                <w:bCs/>
                <w:kern w:val="0"/>
                <w:sz w:val="24"/>
                <w:szCs w:val="24"/>
              </w:rPr>
              <w:t>奖项级别</w:t>
            </w:r>
          </w:p>
        </w:tc>
        <w:tc>
          <w:tcPr>
            <w:tcW w:w="2268" w:type="dxa"/>
            <w:tcBorders>
              <w:top w:val="single" w:color="000000"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遴选总成绩计分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restart"/>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国家级</w:t>
            </w:r>
          </w:p>
        </w:tc>
        <w:tc>
          <w:tcPr>
            <w:tcW w:w="2126" w:type="dxa"/>
            <w:vMerge w:val="restart"/>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丘成桐大学生数学竞赛</w:t>
            </w: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入围总决赛但未获奖</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continue"/>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p>
        </w:tc>
        <w:tc>
          <w:tcPr>
            <w:tcW w:w="2126" w:type="dxa"/>
            <w:vMerge w:val="continue"/>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笔试阶段优胜</w:t>
            </w:r>
          </w:p>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（未入围总决赛）</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continue"/>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p>
        </w:tc>
        <w:tc>
          <w:tcPr>
            <w:tcW w:w="2126" w:type="dxa"/>
            <w:vMerge w:val="continue"/>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团体优胜奖</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主力队员经认定</w:t>
            </w:r>
          </w:p>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0.</w:t>
            </w:r>
            <w:r>
              <w:rPr>
                <w:rFonts w:ascii="Times New Roman" w:hAnsi="Times New Roman" w:eastAsia="仿宋" w:cs="Times New Roman"/>
                <w:kern w:val="0"/>
                <w:sz w:val="24"/>
                <w:szCs w:val="24"/>
              </w:rPr>
              <w:t>5</w:t>
            </w:r>
            <w:r>
              <w:rPr>
                <w:rFonts w:hint="eastAsia" w:ascii="Times New Roman" w:hAnsi="Times New Roman" w:eastAsia="仿宋" w:cs="Times New Roman"/>
                <w:kern w:val="0"/>
                <w:sz w:val="24"/>
                <w:szCs w:val="24"/>
              </w:rPr>
              <w:t>分/人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restart"/>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r>
              <w:rPr>
                <w:rFonts w:hint="eastAsia" w:ascii="Times New Roman" w:hAnsi="Times New Roman" w:eastAsia="仿宋" w:cs="Times New Roman"/>
                <w:color w:val="000000"/>
                <w:kern w:val="0"/>
                <w:sz w:val="24"/>
                <w:szCs w:val="24"/>
              </w:rPr>
              <w:t>省市级</w:t>
            </w:r>
          </w:p>
        </w:tc>
        <w:tc>
          <w:tcPr>
            <w:tcW w:w="2126" w:type="dxa"/>
            <w:tcBorders>
              <w:top w:val="single" w:color="auto" w:sz="6" w:space="0"/>
              <w:left w:val="single" w:color="000000"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全国大学生数学竞赛（上海赛区）</w:t>
            </w:r>
          </w:p>
        </w:tc>
        <w:tc>
          <w:tcPr>
            <w:tcW w:w="3260"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数学A类一等奖</w:t>
            </w:r>
          </w:p>
        </w:tc>
        <w:tc>
          <w:tcPr>
            <w:tcW w:w="2268" w:type="dxa"/>
            <w:tcBorders>
              <w:top w:val="single" w:color="auto" w:sz="6" w:space="0"/>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985" w:type="dxa"/>
            <w:vMerge w:val="continue"/>
            <w:tcBorders>
              <w:top w:val="single" w:color="auto" w:sz="6" w:space="0"/>
              <w:left w:val="single" w:color="000000" w:sz="6" w:space="0"/>
              <w:bottom w:val="single" w:color="auto" w:sz="6" w:space="0"/>
              <w:right w:val="single" w:color="000000" w:sz="6" w:space="0"/>
            </w:tcBorders>
            <w:vAlign w:val="center"/>
          </w:tcPr>
          <w:p>
            <w:pPr>
              <w:widowControl/>
              <w:spacing w:line="270" w:lineRule="atLeast"/>
              <w:jc w:val="center"/>
              <w:rPr>
                <w:rFonts w:ascii="Times New Roman" w:hAnsi="Times New Roman" w:eastAsia="仿宋" w:cs="Times New Roman"/>
                <w:color w:val="000000"/>
                <w:kern w:val="0"/>
                <w:sz w:val="24"/>
                <w:szCs w:val="24"/>
              </w:rPr>
            </w:pPr>
          </w:p>
        </w:tc>
        <w:tc>
          <w:tcPr>
            <w:tcW w:w="2126" w:type="dxa"/>
            <w:tcBorders>
              <w:top w:val="single" w:color="auto"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全国大学生数学建模竞赛（上海赛区）</w:t>
            </w:r>
          </w:p>
        </w:tc>
        <w:tc>
          <w:tcPr>
            <w:tcW w:w="3260"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赛区一等奖</w:t>
            </w:r>
          </w:p>
        </w:tc>
        <w:tc>
          <w:tcPr>
            <w:tcW w:w="2268" w:type="dxa"/>
            <w:tcBorders>
              <w:top w:val="single" w:color="auto"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主力队员经认定</w:t>
            </w:r>
          </w:p>
          <w:p>
            <w:pPr>
              <w:widowControl/>
              <w:spacing w:line="270" w:lineRule="atLeas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0.</w:t>
            </w:r>
            <w:r>
              <w:rPr>
                <w:rFonts w:ascii="Times New Roman" w:hAnsi="Times New Roman" w:eastAsia="仿宋" w:cs="Times New Roman"/>
                <w:kern w:val="0"/>
                <w:sz w:val="24"/>
                <w:szCs w:val="24"/>
              </w:rPr>
              <w:t>5</w:t>
            </w:r>
            <w:r>
              <w:rPr>
                <w:rFonts w:hint="eastAsia" w:ascii="Times New Roman" w:hAnsi="Times New Roman" w:eastAsia="仿宋" w:cs="Times New Roman"/>
                <w:kern w:val="0"/>
                <w:sz w:val="24"/>
                <w:szCs w:val="24"/>
              </w:rPr>
              <w:t>分/人</w:t>
            </w:r>
          </w:p>
        </w:tc>
      </w:tr>
    </w:tbl>
    <w:p>
      <w:pPr>
        <w:spacing w:line="360" w:lineRule="auto"/>
        <w:rPr>
          <w:rFonts w:ascii="Times New Roman" w:hAnsi="Times New Roman" w:eastAsia="仿宋" w:cs="Times New Roman"/>
          <w:sz w:val="28"/>
          <w:szCs w:val="32"/>
        </w:rPr>
      </w:pPr>
    </w:p>
    <w:p>
      <w:pPr>
        <w:pStyle w:val="8"/>
        <w:numPr>
          <w:ilvl w:val="255"/>
          <w:numId w:val="0"/>
        </w:numPr>
        <w:spacing w:line="360" w:lineRule="auto"/>
        <w:ind w:left="420"/>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三、拥有优秀的科研成果：</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申请人本科阶段积极参加学术研究，表现出优秀的学术发展潜力，在学术期刊发表学业相关的学术论文的，可以选择按照《</w:t>
      </w:r>
      <w:r>
        <w:rPr>
          <w:rFonts w:ascii="Times New Roman" w:hAnsi="Times New Roman" w:eastAsia="仿宋" w:cs="Times New Roman"/>
          <w:sz w:val="28"/>
          <w:szCs w:val="32"/>
        </w:rPr>
        <w:t>实施办法</w:t>
      </w:r>
      <w:r>
        <w:rPr>
          <w:rFonts w:hint="eastAsia" w:ascii="Times New Roman" w:hAnsi="Times New Roman" w:eastAsia="仿宋" w:cs="Times New Roman"/>
          <w:sz w:val="28"/>
          <w:szCs w:val="32"/>
        </w:rPr>
        <w:t>》认定加分，或者按照本细则认定加分。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申请人本科阶段在学术期刊发表学业相关的学术论文，作者署名在前三位的，经学院推免生遴选专家小组认定后，按照《</w:t>
      </w:r>
      <w:r>
        <w:rPr>
          <w:rFonts w:hint="eastAsia" w:ascii="Times New Roman" w:hAnsi="Times New Roman" w:eastAsia="仿宋" w:cs="Times New Roman"/>
          <w:color w:val="000000"/>
          <w:kern w:val="0"/>
          <w:sz w:val="28"/>
          <w:szCs w:val="28"/>
        </w:rPr>
        <w:t>数学科学学院推免生遴选学术论文加分折算表》（表</w:t>
      </w:r>
      <w:r>
        <w:rPr>
          <w:rFonts w:ascii="Times New Roman" w:hAnsi="Times New Roman" w:eastAsia="仿宋" w:cs="Times New Roman"/>
          <w:color w:val="000000"/>
          <w:kern w:val="0"/>
          <w:sz w:val="28"/>
          <w:szCs w:val="28"/>
        </w:rPr>
        <w:t>3</w:t>
      </w:r>
      <w:r>
        <w:rPr>
          <w:rFonts w:hint="eastAsia" w:ascii="Times New Roman" w:hAnsi="Times New Roman" w:eastAsia="仿宋" w:cs="Times New Roman"/>
          <w:color w:val="000000"/>
          <w:kern w:val="0"/>
          <w:sz w:val="28"/>
          <w:szCs w:val="28"/>
        </w:rPr>
        <w:t>）进行折算后，计入遴选总成绩。学术期刊的划定范围按照附件《数学科学学院推免生遴选学术期刊分区表》进行认定。</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文章是否属于学术论文、是否与学业相关、申请人是否对文章有贡献需经学院推免生遴选专家小组鉴定。发表多篇论文不累积计分，只取最高一篇文章得分计入遴选总成绩。科研成果得分与《实施方法》中所述科研成果加分标准不重复计算，只取最高一项得分计入遴选总成绩。申请人与直系亲属合作的成果仅做参考，不计分。</w:t>
      </w:r>
    </w:p>
    <w:p>
      <w:pPr>
        <w:spacing w:line="360" w:lineRule="auto"/>
        <w:ind w:firstLine="420"/>
        <w:rPr>
          <w:rFonts w:ascii="Times New Roman" w:hAnsi="Times New Roman" w:eastAsia="仿宋" w:cs="Times New Roman"/>
          <w:sz w:val="28"/>
          <w:szCs w:val="32"/>
        </w:rPr>
      </w:pPr>
      <w:r>
        <w:rPr>
          <w:rFonts w:hint="eastAsia" w:ascii="Times New Roman" w:hAnsi="Times New Roman" w:eastAsia="仿宋" w:cs="Times New Roman"/>
          <w:sz w:val="28"/>
          <w:szCs w:val="32"/>
        </w:rPr>
        <w:t>没有发表的科研成果，经两名相关学科专家推荐</w:t>
      </w:r>
      <w:r>
        <w:rPr>
          <w:rFonts w:hint="eastAsia" w:ascii="Times New Roman" w:hAnsi="Times New Roman" w:eastAsia="仿宋" w:cs="Times New Roman"/>
          <w:sz w:val="28"/>
          <w:szCs w:val="32"/>
          <w:lang w:eastAsia="zh-CN"/>
        </w:rPr>
        <w:t>（</w:t>
      </w:r>
      <w:r>
        <w:rPr>
          <w:rFonts w:hint="eastAsia" w:ascii="Times New Roman" w:hAnsi="Times New Roman" w:eastAsia="仿宋" w:cs="Times New Roman"/>
          <w:sz w:val="28"/>
          <w:szCs w:val="32"/>
          <w:lang w:val="en-US" w:eastAsia="zh-CN"/>
        </w:rPr>
        <w:t>其中一名须是复旦大学数学科学学院教师）</w:t>
      </w:r>
      <w:r>
        <w:rPr>
          <w:rFonts w:hint="eastAsia" w:ascii="Times New Roman" w:hAnsi="Times New Roman" w:eastAsia="仿宋" w:cs="Times New Roman"/>
          <w:sz w:val="28"/>
          <w:szCs w:val="32"/>
        </w:rPr>
        <w:t>，答辩后由学院推免生遴选专家小组审核认定最多不超过2分计入遴选总成绩，该项得分与已发表的科研成果加分不重复计算，只取最高一项得分计入遴选总成绩。</w:t>
      </w:r>
    </w:p>
    <w:p>
      <w:pPr>
        <w:spacing w:line="360" w:lineRule="auto"/>
        <w:ind w:firstLine="0"/>
        <w:rPr>
          <w:rFonts w:ascii="Times New Roman" w:hAnsi="Times New Roman" w:eastAsia="仿宋" w:cs="Times New Roman"/>
          <w:sz w:val="28"/>
          <w:szCs w:val="32"/>
        </w:rPr>
      </w:pPr>
    </w:p>
    <w:p>
      <w:pPr>
        <w:spacing w:line="360" w:lineRule="auto"/>
        <w:rPr>
          <w:rFonts w:ascii="Times New Roman" w:hAnsi="Times New Roman" w:eastAsia="仿宋" w:cs="Times New Roman"/>
          <w:sz w:val="28"/>
          <w:szCs w:val="32"/>
        </w:rPr>
      </w:pPr>
      <w:r>
        <w:rPr>
          <w:rFonts w:hint="eastAsia" w:ascii="Times New Roman" w:hAnsi="Times New Roman" w:eastAsia="仿宋" w:cs="Times New Roman"/>
          <w:color w:val="000000"/>
          <w:kern w:val="0"/>
          <w:sz w:val="28"/>
          <w:szCs w:val="28"/>
        </w:rPr>
        <w:t>表</w:t>
      </w:r>
      <w:r>
        <w:rPr>
          <w:rFonts w:ascii="Times New Roman" w:hAnsi="Times New Roman" w:eastAsia="仿宋" w:cs="Times New Roman"/>
          <w:color w:val="000000"/>
          <w:kern w:val="0"/>
          <w:sz w:val="28"/>
          <w:szCs w:val="28"/>
        </w:rPr>
        <w:t>3：</w:t>
      </w:r>
      <w:r>
        <w:rPr>
          <w:rFonts w:hint="eastAsia" w:ascii="Times New Roman" w:hAnsi="Times New Roman" w:eastAsia="仿宋" w:cs="Times New Roman"/>
          <w:color w:val="000000"/>
          <w:kern w:val="0"/>
          <w:sz w:val="28"/>
          <w:szCs w:val="28"/>
        </w:rPr>
        <w:t>数学科学学院推免生遴选学术论文加分折算表</w:t>
      </w:r>
    </w:p>
    <w:tbl>
      <w:tblPr>
        <w:tblStyle w:val="5"/>
        <w:tblW w:w="82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5529"/>
        <w:gridCol w:w="271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552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学术期刊类别</w:t>
            </w:r>
          </w:p>
        </w:tc>
        <w:tc>
          <w:tcPr>
            <w:tcW w:w="271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center"/>
              <w:rPr>
                <w:rFonts w:ascii="Times New Roman" w:hAnsi="Times New Roman" w:eastAsia="仿宋" w:cs="Times New Roman"/>
                <w:kern w:val="0"/>
                <w:sz w:val="24"/>
                <w:szCs w:val="24"/>
              </w:rPr>
            </w:pPr>
            <w:r>
              <w:rPr>
                <w:rFonts w:ascii="Times New Roman" w:hAnsi="Times New Roman" w:eastAsia="仿宋" w:cs="Times New Roman"/>
                <w:b/>
                <w:bCs/>
                <w:color w:val="000000"/>
                <w:kern w:val="0"/>
                <w:sz w:val="24"/>
                <w:szCs w:val="24"/>
              </w:rPr>
              <w:t>参考计分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9" w:type="dxa"/>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附件表A中所列二区及以上期刊</w:t>
            </w:r>
          </w:p>
        </w:tc>
        <w:tc>
          <w:tcPr>
            <w:tcW w:w="27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最多不超过5分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9" w:type="dxa"/>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附件表B所列二区及以上期刊（但不在表A中）</w:t>
            </w:r>
          </w:p>
        </w:tc>
        <w:tc>
          <w:tcPr>
            <w:tcW w:w="2717" w:type="dxa"/>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最多不超过3分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5529" w:type="dxa"/>
            <w:tcBorders>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其他SCI期刊</w:t>
            </w:r>
          </w:p>
        </w:tc>
        <w:tc>
          <w:tcPr>
            <w:tcW w:w="271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270" w:lineRule="atLeast"/>
              <w:jc w:val="center"/>
              <w:rPr>
                <w:rFonts w:ascii="Times New Roman" w:hAnsi="Times New Roman" w:eastAsia="仿宋" w:cs="Times New Roman"/>
                <w:kern w:val="0"/>
                <w:sz w:val="24"/>
                <w:szCs w:val="24"/>
              </w:rPr>
            </w:pPr>
            <w:r>
              <w:rPr>
                <w:rFonts w:ascii="Times New Roman" w:hAnsi="Times New Roman" w:eastAsia="仿宋" w:cs="Times New Roman"/>
                <w:kern w:val="0"/>
                <w:sz w:val="24"/>
                <w:szCs w:val="24"/>
              </w:rPr>
              <w:t>最多不超过2分</w:t>
            </w:r>
          </w:p>
        </w:tc>
      </w:tr>
    </w:tbl>
    <w:p>
      <w:pPr>
        <w:spacing w:line="360" w:lineRule="auto"/>
        <w:rPr>
          <w:rFonts w:ascii="Times New Roman" w:hAnsi="Times New Roman" w:eastAsia="仿宋" w:cs="Times New Roman"/>
          <w:sz w:val="28"/>
          <w:szCs w:val="32"/>
        </w:rPr>
      </w:pPr>
    </w:p>
    <w:p>
      <w:pPr>
        <w:widowControl/>
        <w:spacing w:line="360" w:lineRule="auto"/>
        <w:ind w:firstLine="420"/>
        <w:jc w:val="left"/>
        <w:rPr>
          <w:rFonts w:ascii="Times New Roman" w:hAnsi="Times New Roman" w:eastAsia="仿宋" w:cs="Times New Roman"/>
          <w:sz w:val="28"/>
          <w:szCs w:val="32"/>
        </w:rPr>
      </w:pPr>
      <w:r>
        <w:rPr>
          <w:rFonts w:hint="eastAsia" w:ascii="Times New Roman" w:hAnsi="Times New Roman" w:eastAsia="仿宋" w:cs="Times New Roman"/>
          <w:sz w:val="28"/>
          <w:szCs w:val="32"/>
        </w:rPr>
        <w:t>以上综合发展潜力得分，按最高8分计入遴选总成绩。</w:t>
      </w:r>
    </w:p>
    <w:p>
      <w:pPr>
        <w:widowControl/>
        <w:jc w:val="left"/>
        <w:rPr>
          <w:rFonts w:ascii="Times New Roman" w:hAnsi="Times New Roman" w:eastAsia="仿宋" w:cs="Times New Roman"/>
          <w:sz w:val="28"/>
          <w:szCs w:val="32"/>
        </w:rPr>
      </w:pPr>
      <w:r>
        <w:rPr>
          <w:rFonts w:ascii="Times New Roman" w:hAnsi="Times New Roman" w:eastAsia="仿宋" w:cs="Times New Roman"/>
          <w:sz w:val="28"/>
          <w:szCs w:val="32"/>
        </w:rPr>
        <w:br w:type="page"/>
      </w:r>
    </w:p>
    <w:p>
      <w:pPr>
        <w:widowControl/>
        <w:spacing w:line="360" w:lineRule="auto"/>
        <w:jc w:val="left"/>
        <w:rPr>
          <w:rFonts w:ascii="Times New Roman" w:hAnsi="Times New Roman" w:eastAsia="仿宋" w:cs="Times New Roman"/>
          <w:b/>
          <w:bCs/>
          <w:sz w:val="28"/>
          <w:szCs w:val="32"/>
        </w:rPr>
      </w:pPr>
      <w:r>
        <w:rPr>
          <w:rFonts w:hint="eastAsia" w:ascii="Times New Roman" w:hAnsi="Times New Roman" w:eastAsia="仿宋" w:cs="Times New Roman"/>
          <w:b/>
          <w:bCs/>
          <w:sz w:val="28"/>
          <w:szCs w:val="32"/>
        </w:rPr>
        <w:t>附件：数学科学学院推免生遴选学术期刊分区表</w:t>
      </w:r>
    </w:p>
    <w:tbl>
      <w:tblPr>
        <w:tblStyle w:val="5"/>
        <w:tblW w:w="8500" w:type="dxa"/>
        <w:tblInd w:w="0" w:type="dxa"/>
        <w:tblLayout w:type="autofit"/>
        <w:tblCellMar>
          <w:top w:w="0" w:type="dxa"/>
          <w:left w:w="108" w:type="dxa"/>
          <w:bottom w:w="0" w:type="dxa"/>
          <w:right w:w="108" w:type="dxa"/>
        </w:tblCellMar>
      </w:tblPr>
      <w:tblGrid>
        <w:gridCol w:w="811"/>
        <w:gridCol w:w="1216"/>
        <w:gridCol w:w="3825"/>
        <w:gridCol w:w="2648"/>
      </w:tblGrid>
      <w:tr>
        <w:tblPrEx>
          <w:tblCellMar>
            <w:top w:w="0" w:type="dxa"/>
            <w:left w:w="108" w:type="dxa"/>
            <w:bottom w:w="0" w:type="dxa"/>
            <w:right w:w="108" w:type="dxa"/>
          </w:tblCellMar>
        </w:tblPrEx>
        <w:trPr>
          <w:trHeight w:val="338" w:hRule="atLeast"/>
        </w:trPr>
        <w:tc>
          <w:tcPr>
            <w:tcW w:w="850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数学科学学院推免生遴选学术期刊分区表</w:t>
            </w:r>
            <w:r>
              <w:rPr>
                <w:rFonts w:ascii="微软雅黑" w:hAnsi="微软雅黑" w:eastAsia="微软雅黑" w:cs="宋体"/>
                <w:b/>
                <w:bCs/>
                <w:color w:val="000000"/>
                <w:kern w:val="0"/>
                <w:sz w:val="24"/>
                <w:szCs w:val="24"/>
              </w:rPr>
              <w:t>A</w:t>
            </w:r>
          </w:p>
        </w:tc>
      </w:tr>
      <w:tr>
        <w:tblPrEx>
          <w:tblCellMar>
            <w:top w:w="0" w:type="dxa"/>
            <w:left w:w="108" w:type="dxa"/>
            <w:bottom w:w="0" w:type="dxa"/>
            <w:right w:w="108" w:type="dxa"/>
          </w:tblCellMar>
        </w:tblPrEx>
        <w:trPr>
          <w:trHeight w:val="338" w:hRule="atLeast"/>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分区</w:t>
            </w:r>
          </w:p>
        </w:tc>
        <w:tc>
          <w:tcPr>
            <w:tcW w:w="1216"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序号</w:t>
            </w:r>
          </w:p>
        </w:tc>
        <w:tc>
          <w:tcPr>
            <w:tcW w:w="3825"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杂志名称</w:t>
            </w:r>
          </w:p>
        </w:tc>
        <w:tc>
          <w:tcPr>
            <w:tcW w:w="2648"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国别</w:t>
            </w:r>
          </w:p>
        </w:tc>
      </w:tr>
      <w:tr>
        <w:tblPrEx>
          <w:tblCellMar>
            <w:top w:w="0" w:type="dxa"/>
            <w:left w:w="108" w:type="dxa"/>
            <w:bottom w:w="0" w:type="dxa"/>
            <w:right w:w="108" w:type="dxa"/>
          </w:tblCellMar>
        </w:tblPrEx>
        <w:trPr>
          <w:trHeight w:val="315" w:hRule="atLeast"/>
        </w:trPr>
        <w:tc>
          <w:tcPr>
            <w:tcW w:w="81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一区</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ANN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瑞典</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AM MATH 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ACTA MATH-DJURSHOLM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INVENT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COMMUN PUR APPL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REV</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AM STAT ASSOC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B AM MATH 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ROY STAT SOC B</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OPTIMIZ</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ROY STAT SOC A STA</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NUMER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NUMER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CONTROL OPTIM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MEM AM MATH SOC</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INVERSE PROBL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TOPOLOGY</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ADV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MATH PURE APPL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J MATH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ANN PROBAB</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FUNCT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DUKE MATH J</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PROBAB THEORY REL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ANN SCI ECOLE NORM S</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REINE ANGEW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DIFFER EQUATIONS</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DIFFER GEOM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MATH ANN</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GEOM FUNCT ANAL</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AM J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EUR J APPL MATH</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26</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COMMUN PART DIFF EQ</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trPr>
        <w:tc>
          <w:tcPr>
            <w:tcW w:w="81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w:t>
            </w:r>
          </w:p>
        </w:tc>
        <w:tc>
          <w:tcPr>
            <w:tcW w:w="38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ALGEBRAIC GEOM</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bl>
    <w:p>
      <w:pPr>
        <w:widowControl/>
        <w:spacing w:line="360" w:lineRule="auto"/>
        <w:jc w:val="left"/>
        <w:rPr>
          <w:rFonts w:ascii="Times New Roman" w:hAnsi="Times New Roman" w:eastAsia="仿宋" w:cs="Times New Roman"/>
          <w:sz w:val="28"/>
          <w:szCs w:val="32"/>
        </w:rPr>
      </w:pPr>
    </w:p>
    <w:tbl>
      <w:tblPr>
        <w:tblStyle w:val="5"/>
        <w:tblW w:w="8258" w:type="dxa"/>
        <w:jc w:val="center"/>
        <w:tblLayout w:type="autofit"/>
        <w:tblCellMar>
          <w:top w:w="0" w:type="dxa"/>
          <w:left w:w="108" w:type="dxa"/>
          <w:bottom w:w="0" w:type="dxa"/>
          <w:right w:w="108" w:type="dxa"/>
        </w:tblCellMar>
      </w:tblPr>
      <w:tblGrid>
        <w:gridCol w:w="1655"/>
        <w:gridCol w:w="947"/>
        <w:gridCol w:w="4244"/>
        <w:gridCol w:w="1412"/>
      </w:tblGrid>
      <w:tr>
        <w:tblPrEx>
          <w:tblCellMar>
            <w:top w:w="0" w:type="dxa"/>
            <w:left w:w="108" w:type="dxa"/>
            <w:bottom w:w="0" w:type="dxa"/>
            <w:right w:w="108" w:type="dxa"/>
          </w:tblCellMar>
        </w:tblPrEx>
        <w:trPr>
          <w:trHeight w:val="353" w:hRule="atLeast"/>
          <w:jc w:val="center"/>
        </w:trPr>
        <w:tc>
          <w:tcPr>
            <w:tcW w:w="825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数学科学学院推免生遴选学术期刊分区表B</w:t>
            </w:r>
          </w:p>
        </w:tc>
      </w:tr>
      <w:tr>
        <w:tblPrEx>
          <w:tblCellMar>
            <w:top w:w="0" w:type="dxa"/>
            <w:left w:w="108" w:type="dxa"/>
            <w:bottom w:w="0" w:type="dxa"/>
            <w:right w:w="108" w:type="dxa"/>
          </w:tblCellMar>
        </w:tblPrEx>
        <w:trPr>
          <w:trHeight w:val="338" w:hRule="atLeast"/>
          <w:jc w:val="center"/>
        </w:trPr>
        <w:tc>
          <w:tcPr>
            <w:tcW w:w="16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分区</w:t>
            </w:r>
          </w:p>
        </w:tc>
        <w:tc>
          <w:tcPr>
            <w:tcW w:w="947"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序号</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杂志名称</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国别</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一区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ACTA MATH-DJURSHOLM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瑞典</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INVENT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COMMUN PUR APPL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SIAM REV</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J AM STAT ASSOC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B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PUBL MATH-PARIS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MEM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STAT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APPL COMPUT HARMON 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563" w:hRule="atLeast"/>
          <w:jc w:val="center"/>
        </w:trPr>
        <w:tc>
          <w:tcPr>
            <w:tcW w:w="825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基础数学</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ANN SCI ECOLE NORM 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DUKE MATH J</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GEOM FUNCT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AM J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DIFFER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ADV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ALGEBRAIC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8</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REINE ANGEW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9</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MATH ANN</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10</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FUNCT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COMMUN PART DIFF EQ</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12</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DIFFER EQUATIONS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TOPOL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EUR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GEOM TOPOL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P LOND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COMMENT MATH HELV</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COMPOS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19</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19"/>
                <w:szCs w:val="19"/>
              </w:rPr>
            </w:pPr>
            <w:r>
              <w:rPr>
                <w:rFonts w:ascii="Times New Roman" w:hAnsi="Times New Roman" w:eastAsia="等线" w:cs="Times New Roman"/>
                <w:color w:val="000000"/>
                <w:kern w:val="0"/>
                <w:sz w:val="19"/>
                <w:szCs w:val="19"/>
              </w:rPr>
              <w:t>CALC VAR PARTIAL DIF</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T AM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I FOURIER</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ERGOD THEOR DYN SYST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LOND MATH SOC</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MATH RES LETTER</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ISR J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以色列</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INT MATH RES NOTICES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Z</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COMMUN ANAL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ALGEBRA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NONCOMMUT GEOM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563" w:hRule="atLeast"/>
          <w:jc w:val="center"/>
        </w:trPr>
        <w:tc>
          <w:tcPr>
            <w:tcW w:w="825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应用数学</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31</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MATH PURE APPL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32</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OPTIMIZ</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NUMER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NUMER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35</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MATH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SIAM J CONTROL OPTIM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37</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INVERSE PROBL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38</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EUR J APPL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ARCH RATION MECH AN</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PROGRAM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MULTISCALE MODEL SIM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COMMUN MATH PHYS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ACM T MATH SOFTWARE</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SCI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COMPUT PHYS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INVERSE PROBL IMAG</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MATRIX ANAL 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COMPUT METHOD APPL M</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IMA J NUMER ANAL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I H POINCARE-AN</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53</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MATH MOD METH APPL 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新加波</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54</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ADV THEOR MATH PHYS</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55</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ESAIM CONTR OPTIM CA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56</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SIAM J APPL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SCI COMPUT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SYST CONTROL LETT</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ADV COMPUT MATH</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INT J NUMER METH ENG</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HENRI POINCARE</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瑞士</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62</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J THEOR BIOL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38" w:hRule="atLeast"/>
          <w:jc w:val="center"/>
        </w:trPr>
        <w:tc>
          <w:tcPr>
            <w:tcW w:w="825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概率和统计</w:t>
            </w:r>
          </w:p>
        </w:tc>
      </w:tr>
      <w:tr>
        <w:tblPrEx>
          <w:tblCellMar>
            <w:top w:w="0" w:type="dxa"/>
            <w:left w:w="108" w:type="dxa"/>
            <w:bottom w:w="0" w:type="dxa"/>
            <w:right w:w="108" w:type="dxa"/>
          </w:tblCellMar>
        </w:tblPrEx>
        <w:trPr>
          <w:trHeight w:val="315" w:hRule="atLeast"/>
          <w:jc w:val="center"/>
        </w:trPr>
        <w:tc>
          <w:tcPr>
            <w:tcW w:w="165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hint="eastAsia" w:ascii="仿宋" w:hAnsi="仿宋" w:eastAsia="仿宋" w:cs="Times New Roman"/>
                <w:color w:val="000000"/>
                <w:kern w:val="0"/>
                <w:sz w:val="22"/>
              </w:rPr>
              <w:t>二区</w:t>
            </w: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63</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ROY STAT SOC B</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64</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ANN PROBAB</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65</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PROBAB THEORY REL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德国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66</w:t>
            </w:r>
          </w:p>
        </w:tc>
        <w:tc>
          <w:tcPr>
            <w:tcW w:w="42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J ROY STAT SOC A STA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67</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BIOMETRIKA</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英国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68</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APPL PROBAB</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美国</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69</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BERNOULLI</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70</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STOCH PROC APPL</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荷兰</w:t>
            </w:r>
          </w:p>
        </w:tc>
      </w:tr>
      <w:tr>
        <w:tblPrEx>
          <w:tblCellMar>
            <w:top w:w="0" w:type="dxa"/>
            <w:left w:w="108" w:type="dxa"/>
            <w:bottom w:w="0" w:type="dxa"/>
            <w:right w:w="108" w:type="dxa"/>
          </w:tblCellMar>
        </w:tblPrEx>
        <w:trPr>
          <w:trHeight w:val="315" w:hRule="atLeast"/>
          <w:jc w:val="center"/>
        </w:trPr>
        <w:tc>
          <w:tcPr>
            <w:tcW w:w="16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rPr>
            </w:pPr>
          </w:p>
        </w:tc>
        <w:tc>
          <w:tcPr>
            <w:tcW w:w="9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71</w:t>
            </w:r>
          </w:p>
        </w:tc>
        <w:tc>
          <w:tcPr>
            <w:tcW w:w="424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rPr>
            </w:pPr>
            <w:r>
              <w:rPr>
                <w:rFonts w:ascii="Times New Roman" w:hAnsi="Times New Roman" w:eastAsia="等线" w:cs="Times New Roman"/>
                <w:color w:val="000000"/>
                <w:kern w:val="0"/>
                <w:sz w:val="22"/>
              </w:rPr>
              <w:t>ANN I H POINCARE-PR</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4"/>
                <w:szCs w:val="24"/>
              </w:rPr>
            </w:pPr>
            <w:r>
              <w:rPr>
                <w:rFonts w:hint="eastAsia" w:ascii="仿宋" w:hAnsi="仿宋" w:eastAsia="仿宋" w:cs="Times New Roman"/>
                <w:color w:val="000000"/>
                <w:kern w:val="0"/>
                <w:sz w:val="24"/>
                <w:szCs w:val="24"/>
              </w:rPr>
              <w:t>法国</w:t>
            </w:r>
          </w:p>
        </w:tc>
      </w:tr>
    </w:tbl>
    <w:p>
      <w:pPr>
        <w:widowControl/>
        <w:spacing w:line="360" w:lineRule="auto"/>
        <w:jc w:val="left"/>
        <w:rPr>
          <w:rFonts w:ascii="Times New Roman" w:hAnsi="Times New Roman" w:eastAsia="仿宋" w:cs="Times New Roman"/>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zYTA3YTMwY2MwYjAxYjE1OTU0MDdkMWU3MGM3NzQifQ=="/>
  </w:docVars>
  <w:rsids>
    <w:rsidRoot w:val="00EC3482"/>
    <w:rsid w:val="000005F5"/>
    <w:rsid w:val="00002BEB"/>
    <w:rsid w:val="000121F7"/>
    <w:rsid w:val="00020745"/>
    <w:rsid w:val="00025E7B"/>
    <w:rsid w:val="00032AEE"/>
    <w:rsid w:val="00034359"/>
    <w:rsid w:val="00061C7D"/>
    <w:rsid w:val="00064022"/>
    <w:rsid w:val="000765C8"/>
    <w:rsid w:val="00080BDB"/>
    <w:rsid w:val="0009229A"/>
    <w:rsid w:val="000A5712"/>
    <w:rsid w:val="000B2280"/>
    <w:rsid w:val="000B280D"/>
    <w:rsid w:val="000B764F"/>
    <w:rsid w:val="000C14A2"/>
    <w:rsid w:val="000C35B1"/>
    <w:rsid w:val="000C378B"/>
    <w:rsid w:val="000C6B77"/>
    <w:rsid w:val="000D5EB9"/>
    <w:rsid w:val="000E03DF"/>
    <w:rsid w:val="000E2A58"/>
    <w:rsid w:val="000F26AF"/>
    <w:rsid w:val="001076A1"/>
    <w:rsid w:val="001132AA"/>
    <w:rsid w:val="001204A0"/>
    <w:rsid w:val="001243CF"/>
    <w:rsid w:val="00127B1F"/>
    <w:rsid w:val="001959DA"/>
    <w:rsid w:val="001B167C"/>
    <w:rsid w:val="001B30FA"/>
    <w:rsid w:val="001C27DB"/>
    <w:rsid w:val="001C696F"/>
    <w:rsid w:val="001D68BA"/>
    <w:rsid w:val="001F2952"/>
    <w:rsid w:val="00216A52"/>
    <w:rsid w:val="002230C4"/>
    <w:rsid w:val="0023025B"/>
    <w:rsid w:val="00255AC1"/>
    <w:rsid w:val="0026102B"/>
    <w:rsid w:val="00275A01"/>
    <w:rsid w:val="00277F32"/>
    <w:rsid w:val="002E2BB9"/>
    <w:rsid w:val="002E72F8"/>
    <w:rsid w:val="002F040B"/>
    <w:rsid w:val="002F471B"/>
    <w:rsid w:val="002F73B0"/>
    <w:rsid w:val="00340617"/>
    <w:rsid w:val="00346729"/>
    <w:rsid w:val="00350E15"/>
    <w:rsid w:val="00360F47"/>
    <w:rsid w:val="003669A5"/>
    <w:rsid w:val="00373661"/>
    <w:rsid w:val="00391EF9"/>
    <w:rsid w:val="003A42B5"/>
    <w:rsid w:val="003A55D5"/>
    <w:rsid w:val="003A72B4"/>
    <w:rsid w:val="003C1287"/>
    <w:rsid w:val="003D4B52"/>
    <w:rsid w:val="00405CC4"/>
    <w:rsid w:val="0043409D"/>
    <w:rsid w:val="004342F0"/>
    <w:rsid w:val="00455C6F"/>
    <w:rsid w:val="00460593"/>
    <w:rsid w:val="00467725"/>
    <w:rsid w:val="00490287"/>
    <w:rsid w:val="004A19F6"/>
    <w:rsid w:val="004B3415"/>
    <w:rsid w:val="004F0FB3"/>
    <w:rsid w:val="004F364B"/>
    <w:rsid w:val="004F6AED"/>
    <w:rsid w:val="004F7C33"/>
    <w:rsid w:val="00524388"/>
    <w:rsid w:val="00527F8E"/>
    <w:rsid w:val="005319E0"/>
    <w:rsid w:val="00533025"/>
    <w:rsid w:val="0054040D"/>
    <w:rsid w:val="00542BAC"/>
    <w:rsid w:val="005460B9"/>
    <w:rsid w:val="005515AD"/>
    <w:rsid w:val="0055305E"/>
    <w:rsid w:val="00580427"/>
    <w:rsid w:val="00582B3D"/>
    <w:rsid w:val="005839C6"/>
    <w:rsid w:val="0059623E"/>
    <w:rsid w:val="005A3FEC"/>
    <w:rsid w:val="005B04D5"/>
    <w:rsid w:val="005B7610"/>
    <w:rsid w:val="005C1F77"/>
    <w:rsid w:val="005E13B8"/>
    <w:rsid w:val="005E1DC3"/>
    <w:rsid w:val="005F1588"/>
    <w:rsid w:val="00615DFB"/>
    <w:rsid w:val="00616D1E"/>
    <w:rsid w:val="00622E9C"/>
    <w:rsid w:val="0063045D"/>
    <w:rsid w:val="00643B4A"/>
    <w:rsid w:val="00655C5F"/>
    <w:rsid w:val="00660710"/>
    <w:rsid w:val="00660784"/>
    <w:rsid w:val="00660E86"/>
    <w:rsid w:val="00684DD8"/>
    <w:rsid w:val="006963AB"/>
    <w:rsid w:val="006A1934"/>
    <w:rsid w:val="006A582D"/>
    <w:rsid w:val="006B2313"/>
    <w:rsid w:val="006D64DF"/>
    <w:rsid w:val="006D692C"/>
    <w:rsid w:val="006F034C"/>
    <w:rsid w:val="006F7CE1"/>
    <w:rsid w:val="006F7EB1"/>
    <w:rsid w:val="00716754"/>
    <w:rsid w:val="00722F46"/>
    <w:rsid w:val="007245D8"/>
    <w:rsid w:val="00734240"/>
    <w:rsid w:val="00734BC9"/>
    <w:rsid w:val="007414F7"/>
    <w:rsid w:val="00743BDB"/>
    <w:rsid w:val="007479C3"/>
    <w:rsid w:val="00752024"/>
    <w:rsid w:val="0075292A"/>
    <w:rsid w:val="00760C39"/>
    <w:rsid w:val="00772D49"/>
    <w:rsid w:val="00781ED2"/>
    <w:rsid w:val="00792FAC"/>
    <w:rsid w:val="00796E07"/>
    <w:rsid w:val="007C547F"/>
    <w:rsid w:val="007D65A2"/>
    <w:rsid w:val="007D6FB2"/>
    <w:rsid w:val="007E04F4"/>
    <w:rsid w:val="007E14ED"/>
    <w:rsid w:val="007E5202"/>
    <w:rsid w:val="00803C98"/>
    <w:rsid w:val="00810C89"/>
    <w:rsid w:val="00811023"/>
    <w:rsid w:val="008216D8"/>
    <w:rsid w:val="00824A37"/>
    <w:rsid w:val="00824E5E"/>
    <w:rsid w:val="00831D75"/>
    <w:rsid w:val="0085096D"/>
    <w:rsid w:val="0085478D"/>
    <w:rsid w:val="00860607"/>
    <w:rsid w:val="00861C63"/>
    <w:rsid w:val="0087048B"/>
    <w:rsid w:val="0087589A"/>
    <w:rsid w:val="00885018"/>
    <w:rsid w:val="008942FD"/>
    <w:rsid w:val="00897175"/>
    <w:rsid w:val="008E175A"/>
    <w:rsid w:val="008F1EB7"/>
    <w:rsid w:val="008F2139"/>
    <w:rsid w:val="008F726C"/>
    <w:rsid w:val="00902B86"/>
    <w:rsid w:val="00914E9B"/>
    <w:rsid w:val="00926141"/>
    <w:rsid w:val="00941192"/>
    <w:rsid w:val="00942983"/>
    <w:rsid w:val="00947AA6"/>
    <w:rsid w:val="00964E69"/>
    <w:rsid w:val="009752E9"/>
    <w:rsid w:val="0097718A"/>
    <w:rsid w:val="00977556"/>
    <w:rsid w:val="00987E8D"/>
    <w:rsid w:val="00997018"/>
    <w:rsid w:val="009B5615"/>
    <w:rsid w:val="009C6508"/>
    <w:rsid w:val="009C7DE5"/>
    <w:rsid w:val="009D4A8D"/>
    <w:rsid w:val="009E5C8F"/>
    <w:rsid w:val="00A04203"/>
    <w:rsid w:val="00A05ED8"/>
    <w:rsid w:val="00A120C2"/>
    <w:rsid w:val="00A174CD"/>
    <w:rsid w:val="00A21758"/>
    <w:rsid w:val="00A24F0A"/>
    <w:rsid w:val="00A27F06"/>
    <w:rsid w:val="00A33F28"/>
    <w:rsid w:val="00A452B4"/>
    <w:rsid w:val="00A84F83"/>
    <w:rsid w:val="00A918F9"/>
    <w:rsid w:val="00A97F79"/>
    <w:rsid w:val="00AA43C1"/>
    <w:rsid w:val="00AA7D54"/>
    <w:rsid w:val="00AB1A9B"/>
    <w:rsid w:val="00AC1630"/>
    <w:rsid w:val="00AC61ED"/>
    <w:rsid w:val="00AC6C00"/>
    <w:rsid w:val="00AD4DBB"/>
    <w:rsid w:val="00AE6593"/>
    <w:rsid w:val="00B051B5"/>
    <w:rsid w:val="00B07BA8"/>
    <w:rsid w:val="00B30C5B"/>
    <w:rsid w:val="00B46FD1"/>
    <w:rsid w:val="00B67B9C"/>
    <w:rsid w:val="00B760C5"/>
    <w:rsid w:val="00B96E52"/>
    <w:rsid w:val="00BA7265"/>
    <w:rsid w:val="00BB0836"/>
    <w:rsid w:val="00BB4516"/>
    <w:rsid w:val="00BD04D6"/>
    <w:rsid w:val="00BD164F"/>
    <w:rsid w:val="00BD2341"/>
    <w:rsid w:val="00BD7891"/>
    <w:rsid w:val="00BF6725"/>
    <w:rsid w:val="00C004D3"/>
    <w:rsid w:val="00C03B26"/>
    <w:rsid w:val="00C25635"/>
    <w:rsid w:val="00C25D5E"/>
    <w:rsid w:val="00C30F6E"/>
    <w:rsid w:val="00C45A0F"/>
    <w:rsid w:val="00C46088"/>
    <w:rsid w:val="00C603D8"/>
    <w:rsid w:val="00C73103"/>
    <w:rsid w:val="00C81DA8"/>
    <w:rsid w:val="00CB3E02"/>
    <w:rsid w:val="00CB6325"/>
    <w:rsid w:val="00CD615E"/>
    <w:rsid w:val="00CE05CA"/>
    <w:rsid w:val="00CE17E4"/>
    <w:rsid w:val="00D01B3E"/>
    <w:rsid w:val="00D04B80"/>
    <w:rsid w:val="00D07EEA"/>
    <w:rsid w:val="00D201B4"/>
    <w:rsid w:val="00D406F7"/>
    <w:rsid w:val="00D41455"/>
    <w:rsid w:val="00D47D47"/>
    <w:rsid w:val="00D56576"/>
    <w:rsid w:val="00D743D7"/>
    <w:rsid w:val="00D818F1"/>
    <w:rsid w:val="00D878F1"/>
    <w:rsid w:val="00DB4A15"/>
    <w:rsid w:val="00DB60C1"/>
    <w:rsid w:val="00DC4ACD"/>
    <w:rsid w:val="00DD4060"/>
    <w:rsid w:val="00DD798D"/>
    <w:rsid w:val="00DE5253"/>
    <w:rsid w:val="00DE56E5"/>
    <w:rsid w:val="00DF34C5"/>
    <w:rsid w:val="00E05297"/>
    <w:rsid w:val="00E21A15"/>
    <w:rsid w:val="00E4191A"/>
    <w:rsid w:val="00E710EB"/>
    <w:rsid w:val="00E76508"/>
    <w:rsid w:val="00E80104"/>
    <w:rsid w:val="00E90FC1"/>
    <w:rsid w:val="00EA16FB"/>
    <w:rsid w:val="00EA2B8D"/>
    <w:rsid w:val="00EA6C11"/>
    <w:rsid w:val="00EB5DA2"/>
    <w:rsid w:val="00EC3482"/>
    <w:rsid w:val="00F01557"/>
    <w:rsid w:val="00F04ED6"/>
    <w:rsid w:val="00F10B83"/>
    <w:rsid w:val="00F17594"/>
    <w:rsid w:val="00F263AC"/>
    <w:rsid w:val="00F32A35"/>
    <w:rsid w:val="00F34866"/>
    <w:rsid w:val="00F848CC"/>
    <w:rsid w:val="00F965BF"/>
    <w:rsid w:val="00F97AB9"/>
    <w:rsid w:val="00FA67EA"/>
    <w:rsid w:val="00FA7FC6"/>
    <w:rsid w:val="00FB55AF"/>
    <w:rsid w:val="00FD363F"/>
    <w:rsid w:val="00FE1EB7"/>
    <w:rsid w:val="00FF0133"/>
    <w:rsid w:val="00FF0B96"/>
    <w:rsid w:val="13A86155"/>
    <w:rsid w:val="17C96A98"/>
    <w:rsid w:val="3B2E1A0E"/>
    <w:rsid w:val="3F8311CE"/>
    <w:rsid w:val="52FC79A6"/>
    <w:rsid w:val="5A265024"/>
    <w:rsid w:val="5FEF697A"/>
    <w:rsid w:val="684F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styleId="11">
    <w:name w:val="Placeholder Text"/>
    <w:basedOn w:val="6"/>
    <w:semiHidden/>
    <w:qFormat/>
    <w:uiPriority w:val="99"/>
    <w:rPr>
      <w:color w:val="808080"/>
    </w:rPr>
  </w:style>
  <w:style w:type="paragraph" w:customStyle="1" w:styleId="1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F825-76E5-4667-A776-ACB6976A5AA7}">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2290</Words>
  <Characters>3490</Characters>
  <Lines>31</Lines>
  <Paragraphs>8</Paragraphs>
  <TotalTime>28</TotalTime>
  <ScaleCrop>false</ScaleCrop>
  <LinksUpToDate>false</LinksUpToDate>
  <CharactersWithSpaces>3757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2022-09-09T02:22:00Z</dcterms:created>
  <dc:creator>竑毅 杜</dc:creator>
  <cp:lastModifiedBy>杜雅倩</cp:lastModifiedBy>
  <cp:lastPrinted>2022-09-14T01:03:00Z</cp:lastPrinted>
  <dcterms:modified xsi:type="dcterms:W3CDTF">2023-09-19T05:47:48Z</dcterms:modified>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2DA33624AD8749B2974E804EF40245F5</vt:lpwstr>
  </property>
</Properties>
</file>